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4B2E" w14:textId="77777777" w:rsidR="00C77059" w:rsidRPr="004D2EC6" w:rsidRDefault="004D2EC6">
      <w:pPr>
        <w:pStyle w:val="Heading1"/>
        <w:rPr>
          <w:color w:val="000000" w:themeColor="text1"/>
          <w:sz w:val="26"/>
          <w:szCs w:val="26"/>
        </w:rPr>
      </w:pPr>
      <w:r w:rsidRPr="004D2EC6">
        <w:rPr>
          <w:color w:val="000000" w:themeColor="text1"/>
          <w:sz w:val="26"/>
          <w:szCs w:val="26"/>
        </w:rPr>
        <w:t>Scope of Practice Statement</w:t>
      </w:r>
    </w:p>
    <w:p w14:paraId="53D4D743" w14:textId="6771D684" w:rsidR="00C77059" w:rsidRPr="004D2EC6" w:rsidRDefault="004D2EC6" w:rsidP="000E0821">
      <w:pPr>
        <w:pStyle w:val="Heading2"/>
        <w:rPr>
          <w:color w:val="1F497D" w:themeColor="text2"/>
          <w:sz w:val="24"/>
          <w:szCs w:val="24"/>
        </w:rPr>
      </w:pPr>
      <w:r w:rsidRPr="004D2EC6">
        <w:rPr>
          <w:color w:val="1F497D" w:themeColor="text2"/>
          <w:sz w:val="24"/>
          <w:szCs w:val="24"/>
        </w:rPr>
        <w:t>Purpose</w:t>
      </w:r>
      <w:r w:rsidR="00CF6602">
        <w:rPr>
          <w:color w:val="1F497D" w:themeColor="text2"/>
          <w:sz w:val="24"/>
          <w:szCs w:val="24"/>
        </w:rPr>
        <w:t xml:space="preserve"> and Scope</w:t>
      </w:r>
      <w:r w:rsidR="00616FF2">
        <w:rPr>
          <w:color w:val="1F497D" w:themeColor="text2"/>
          <w:sz w:val="24"/>
          <w:szCs w:val="24"/>
        </w:rPr>
        <w:t xml:space="preserve"> of Practice</w:t>
      </w:r>
    </w:p>
    <w:p w14:paraId="4AE7EADB" w14:textId="77777777" w:rsidR="00616FF2" w:rsidRPr="00616FF2" w:rsidRDefault="00616FF2" w:rsidP="000E0821">
      <w:pPr>
        <w:pStyle w:val="Heading2"/>
        <w:spacing w:before="0"/>
        <w:rPr>
          <w:b w:val="0"/>
          <w:bCs w:val="0"/>
          <w:color w:val="auto"/>
          <w:sz w:val="21"/>
          <w:szCs w:val="21"/>
        </w:rPr>
      </w:pPr>
      <w:r w:rsidRPr="00616FF2">
        <w:rPr>
          <w:b w:val="0"/>
          <w:bCs w:val="0"/>
          <w:color w:val="auto"/>
          <w:sz w:val="21"/>
          <w:szCs w:val="21"/>
        </w:rPr>
        <w:t>Dental Advocacy Support Services, LLC (“DASS”) provides independent, non-clinical advocacy and education to help residents, caregivers, and facilities make informed dental care decisions.</w:t>
      </w:r>
    </w:p>
    <w:p w14:paraId="3E29B617" w14:textId="77777777" w:rsidR="00616FF2" w:rsidRPr="00616FF2" w:rsidRDefault="00616FF2" w:rsidP="000E0821">
      <w:pPr>
        <w:pStyle w:val="Heading2"/>
        <w:spacing w:before="0"/>
        <w:rPr>
          <w:b w:val="0"/>
          <w:bCs w:val="0"/>
          <w:color w:val="auto"/>
          <w:sz w:val="21"/>
          <w:szCs w:val="21"/>
        </w:rPr>
      </w:pPr>
      <w:r w:rsidRPr="00616FF2">
        <w:rPr>
          <w:b w:val="0"/>
          <w:bCs w:val="0"/>
          <w:color w:val="auto"/>
          <w:sz w:val="21"/>
          <w:szCs w:val="21"/>
        </w:rPr>
        <w:t>Our work includes:</w:t>
      </w:r>
    </w:p>
    <w:p w14:paraId="613B64B9" w14:textId="77777777" w:rsidR="00616FF2" w:rsidRPr="00616FF2" w:rsidRDefault="00616FF2" w:rsidP="000E0821">
      <w:pPr>
        <w:pStyle w:val="Heading2"/>
        <w:numPr>
          <w:ilvl w:val="0"/>
          <w:numId w:val="10"/>
        </w:numPr>
        <w:spacing w:before="0"/>
        <w:rPr>
          <w:b w:val="0"/>
          <w:bCs w:val="0"/>
          <w:color w:val="auto"/>
          <w:sz w:val="21"/>
          <w:szCs w:val="21"/>
        </w:rPr>
      </w:pPr>
      <w:r w:rsidRPr="00616FF2">
        <w:rPr>
          <w:b w:val="0"/>
          <w:bCs w:val="0"/>
          <w:color w:val="auto"/>
          <w:sz w:val="21"/>
          <w:szCs w:val="21"/>
        </w:rPr>
        <w:t>Providing oral health education and informational sessions for residents, caregivers, and staff.</w:t>
      </w:r>
    </w:p>
    <w:p w14:paraId="3E93FB47" w14:textId="77777777" w:rsidR="00616FF2" w:rsidRPr="00616FF2" w:rsidRDefault="00616FF2" w:rsidP="000E0821">
      <w:pPr>
        <w:pStyle w:val="Heading2"/>
        <w:numPr>
          <w:ilvl w:val="0"/>
          <w:numId w:val="10"/>
        </w:numPr>
        <w:spacing w:before="0"/>
        <w:rPr>
          <w:b w:val="0"/>
          <w:bCs w:val="0"/>
          <w:color w:val="auto"/>
          <w:sz w:val="21"/>
          <w:szCs w:val="21"/>
        </w:rPr>
      </w:pPr>
      <w:r w:rsidRPr="00616FF2">
        <w:rPr>
          <w:b w:val="0"/>
          <w:bCs w:val="0"/>
          <w:color w:val="auto"/>
          <w:sz w:val="21"/>
          <w:szCs w:val="21"/>
        </w:rPr>
        <w:t>Supporting residents and families with treatment plan understanding, appointment preparation, and care coordination.</w:t>
      </w:r>
    </w:p>
    <w:p w14:paraId="4E1BA61D" w14:textId="77777777" w:rsidR="00616FF2" w:rsidRPr="00616FF2" w:rsidRDefault="00616FF2" w:rsidP="000E0821">
      <w:pPr>
        <w:pStyle w:val="Heading2"/>
        <w:numPr>
          <w:ilvl w:val="0"/>
          <w:numId w:val="10"/>
        </w:numPr>
        <w:spacing w:before="0"/>
        <w:rPr>
          <w:b w:val="0"/>
          <w:bCs w:val="0"/>
          <w:color w:val="auto"/>
          <w:sz w:val="21"/>
          <w:szCs w:val="21"/>
        </w:rPr>
      </w:pPr>
      <w:r w:rsidRPr="00616FF2">
        <w:rPr>
          <w:b w:val="0"/>
          <w:bCs w:val="0"/>
          <w:color w:val="auto"/>
          <w:sz w:val="21"/>
          <w:szCs w:val="21"/>
        </w:rPr>
        <w:t>Guiding residents in navigating dental insurance benefits and available resources.</w:t>
      </w:r>
    </w:p>
    <w:p w14:paraId="15C07FC7" w14:textId="77777777" w:rsidR="00616FF2" w:rsidRPr="00616FF2" w:rsidRDefault="00616FF2" w:rsidP="000E0821">
      <w:pPr>
        <w:pStyle w:val="Heading2"/>
        <w:numPr>
          <w:ilvl w:val="0"/>
          <w:numId w:val="10"/>
        </w:numPr>
        <w:spacing w:before="0"/>
        <w:rPr>
          <w:b w:val="0"/>
          <w:bCs w:val="0"/>
          <w:color w:val="auto"/>
          <w:sz w:val="21"/>
          <w:szCs w:val="21"/>
        </w:rPr>
      </w:pPr>
      <w:r w:rsidRPr="00616FF2">
        <w:rPr>
          <w:b w:val="0"/>
          <w:bCs w:val="0"/>
          <w:color w:val="auto"/>
          <w:sz w:val="21"/>
          <w:szCs w:val="21"/>
        </w:rPr>
        <w:t>Assisting facilities with integrating oral health awareness and advocacy into care processes.</w:t>
      </w:r>
    </w:p>
    <w:p w14:paraId="14F2B596" w14:textId="77777777" w:rsidR="00616FF2" w:rsidRPr="00616FF2" w:rsidRDefault="00616FF2" w:rsidP="000E0821">
      <w:pPr>
        <w:pStyle w:val="Heading2"/>
        <w:numPr>
          <w:ilvl w:val="0"/>
          <w:numId w:val="10"/>
        </w:numPr>
        <w:spacing w:before="0"/>
        <w:rPr>
          <w:b w:val="0"/>
          <w:bCs w:val="0"/>
          <w:color w:val="auto"/>
          <w:sz w:val="21"/>
          <w:szCs w:val="21"/>
        </w:rPr>
      </w:pPr>
      <w:r w:rsidRPr="00616FF2">
        <w:rPr>
          <w:b w:val="0"/>
          <w:bCs w:val="0"/>
          <w:color w:val="auto"/>
          <w:sz w:val="21"/>
          <w:szCs w:val="21"/>
        </w:rPr>
        <w:t>Developing and distributing non-clinical educational materials and toolkits.</w:t>
      </w:r>
    </w:p>
    <w:p w14:paraId="6C671D46" w14:textId="77777777" w:rsidR="00C77059" w:rsidRPr="004D2EC6" w:rsidRDefault="004D2EC6" w:rsidP="000E0821">
      <w:pPr>
        <w:pStyle w:val="Heading2"/>
        <w:rPr>
          <w:color w:val="1F497D" w:themeColor="text2"/>
          <w:sz w:val="24"/>
          <w:szCs w:val="24"/>
        </w:rPr>
      </w:pPr>
      <w:r w:rsidRPr="004D2EC6">
        <w:rPr>
          <w:color w:val="1F497D" w:themeColor="text2"/>
          <w:sz w:val="24"/>
          <w:szCs w:val="24"/>
        </w:rPr>
        <w:t>Limitations of Services</w:t>
      </w:r>
    </w:p>
    <w:p w14:paraId="4ADB097B" w14:textId="5D893936" w:rsidR="00C77059" w:rsidRPr="009E1C03" w:rsidRDefault="004D2EC6" w:rsidP="000E0821">
      <w:pPr>
        <w:spacing w:after="0" w:line="240" w:lineRule="auto"/>
        <w:rPr>
          <w:sz w:val="21"/>
          <w:szCs w:val="21"/>
        </w:rPr>
      </w:pPr>
      <w:r w:rsidRPr="009E1C03">
        <w:rPr>
          <w:sz w:val="21"/>
          <w:szCs w:val="21"/>
        </w:rPr>
        <w:t>DASS is not operating as a dental or medical provider and does not:</w:t>
      </w:r>
    </w:p>
    <w:p w14:paraId="1BDE1841" w14:textId="77777777" w:rsidR="00BD7C21" w:rsidRPr="009E1C03" w:rsidRDefault="00BD7C21" w:rsidP="000E0821">
      <w:pPr>
        <w:pStyle w:val="ListBullet"/>
        <w:spacing w:after="0" w:line="240" w:lineRule="auto"/>
        <w:rPr>
          <w:sz w:val="21"/>
          <w:szCs w:val="21"/>
        </w:rPr>
      </w:pPr>
      <w:r w:rsidRPr="009E1C03">
        <w:rPr>
          <w:sz w:val="21"/>
          <w:szCs w:val="21"/>
        </w:rPr>
        <w:t>Provide dental or medical treatment.</w:t>
      </w:r>
    </w:p>
    <w:p w14:paraId="32552F29" w14:textId="77777777" w:rsidR="00BD7C21" w:rsidRPr="009E1C03" w:rsidRDefault="00BD7C21" w:rsidP="000E0821">
      <w:pPr>
        <w:pStyle w:val="ListBullet"/>
        <w:spacing w:after="0" w:line="240" w:lineRule="auto"/>
        <w:rPr>
          <w:sz w:val="21"/>
          <w:szCs w:val="21"/>
        </w:rPr>
      </w:pPr>
      <w:r w:rsidRPr="009E1C03">
        <w:rPr>
          <w:sz w:val="21"/>
          <w:szCs w:val="21"/>
        </w:rPr>
        <w:t>Diagnose, prescribe, or make clinical decisions.</w:t>
      </w:r>
    </w:p>
    <w:p w14:paraId="08FEFE8E" w14:textId="77777777" w:rsidR="00BD7C21" w:rsidRPr="009E1C03" w:rsidRDefault="00BD7C21" w:rsidP="000E0821">
      <w:pPr>
        <w:pStyle w:val="ListBullet"/>
        <w:spacing w:after="0" w:line="240" w:lineRule="auto"/>
        <w:rPr>
          <w:sz w:val="21"/>
          <w:szCs w:val="21"/>
        </w:rPr>
      </w:pPr>
      <w:r w:rsidRPr="009E1C03">
        <w:rPr>
          <w:sz w:val="21"/>
          <w:szCs w:val="21"/>
        </w:rPr>
        <w:t>Guarantee insurance coverage or payment outcomes.</w:t>
      </w:r>
    </w:p>
    <w:p w14:paraId="313C2F2E" w14:textId="79D085C4" w:rsidR="00C77059" w:rsidRPr="009E1C03" w:rsidRDefault="00BD7C21" w:rsidP="000E0821">
      <w:pPr>
        <w:pStyle w:val="ListBullet"/>
        <w:spacing w:after="0" w:line="240" w:lineRule="auto"/>
        <w:rPr>
          <w:sz w:val="21"/>
          <w:szCs w:val="21"/>
        </w:rPr>
      </w:pPr>
      <w:r w:rsidRPr="009E1C03">
        <w:rPr>
          <w:sz w:val="21"/>
          <w:szCs w:val="21"/>
        </w:rPr>
        <w:t>Assume responsibility for treatment decisions or outcomes.</w:t>
      </w:r>
    </w:p>
    <w:p w14:paraId="6CEAD6CB" w14:textId="77777777" w:rsidR="00C77059" w:rsidRPr="004D2EC6" w:rsidRDefault="004D2EC6" w:rsidP="000E0821">
      <w:pPr>
        <w:pStyle w:val="Heading2"/>
        <w:rPr>
          <w:color w:val="1F497D" w:themeColor="text2"/>
          <w:sz w:val="24"/>
          <w:szCs w:val="24"/>
        </w:rPr>
      </w:pPr>
      <w:r w:rsidRPr="004D2EC6">
        <w:rPr>
          <w:color w:val="1F497D" w:themeColor="text2"/>
          <w:sz w:val="24"/>
          <w:szCs w:val="24"/>
        </w:rPr>
        <w:t>Professional Boundaries</w:t>
      </w:r>
    </w:p>
    <w:p w14:paraId="04D0F42F" w14:textId="77777777" w:rsidR="00375BA8" w:rsidRPr="009E1C03" w:rsidRDefault="00375BA8" w:rsidP="000E0821">
      <w:pPr>
        <w:pStyle w:val="Heading2"/>
        <w:rPr>
          <w:rFonts w:asciiTheme="minorHAnsi" w:eastAsiaTheme="minorEastAsia" w:hAnsiTheme="minorHAnsi" w:cstheme="minorBidi"/>
          <w:b w:val="0"/>
          <w:bCs w:val="0"/>
          <w:color w:val="auto"/>
          <w:sz w:val="21"/>
          <w:szCs w:val="21"/>
        </w:rPr>
      </w:pPr>
      <w:r w:rsidRPr="009E1C03">
        <w:rPr>
          <w:rFonts w:asciiTheme="minorHAnsi" w:eastAsiaTheme="minorEastAsia" w:hAnsiTheme="minorHAnsi" w:cstheme="minorBidi"/>
          <w:b w:val="0"/>
          <w:bCs w:val="0"/>
          <w:color w:val="auto"/>
          <w:sz w:val="21"/>
          <w:szCs w:val="21"/>
        </w:rPr>
        <w:t>All clinical decisions remain the responsibility of the patient, their legal representatives, the facility, and licensed healthcare providers. DASS operates strictly in a non-clinical, advocacy capacity and does not override clinical judgment.</w:t>
      </w:r>
    </w:p>
    <w:p w14:paraId="775C21ED" w14:textId="5AA19B55" w:rsidR="00C77059" w:rsidRPr="004D2EC6" w:rsidRDefault="004D2EC6" w:rsidP="000E0821">
      <w:pPr>
        <w:pStyle w:val="Heading2"/>
        <w:rPr>
          <w:color w:val="1F497D" w:themeColor="text2"/>
          <w:sz w:val="24"/>
          <w:szCs w:val="24"/>
        </w:rPr>
      </w:pPr>
      <w:r w:rsidRPr="004D2EC6">
        <w:rPr>
          <w:color w:val="1F497D" w:themeColor="text2"/>
          <w:sz w:val="24"/>
          <w:szCs w:val="24"/>
        </w:rPr>
        <w:t>BCPA Credential</w:t>
      </w:r>
    </w:p>
    <w:p w14:paraId="248E698D" w14:textId="77777777" w:rsidR="00C77059" w:rsidRPr="009E1C03" w:rsidRDefault="004D2EC6" w:rsidP="000E0821">
      <w:pPr>
        <w:spacing w:after="0"/>
        <w:rPr>
          <w:sz w:val="21"/>
          <w:szCs w:val="21"/>
        </w:rPr>
      </w:pPr>
      <w:r w:rsidRPr="009E1C03">
        <w:rPr>
          <w:sz w:val="21"/>
          <w:szCs w:val="21"/>
        </w:rPr>
        <w:t xml:space="preserve">If the representative of DASS holds the </w:t>
      </w:r>
      <w:proofErr w:type="gramStart"/>
      <w:r w:rsidRPr="009E1C03">
        <w:rPr>
          <w:sz w:val="21"/>
          <w:szCs w:val="21"/>
        </w:rPr>
        <w:t>Board Certified</w:t>
      </w:r>
      <w:proofErr w:type="gramEnd"/>
      <w:r w:rsidRPr="009E1C03">
        <w:rPr>
          <w:sz w:val="21"/>
          <w:szCs w:val="21"/>
        </w:rPr>
        <w:t xml:space="preserve"> Patient Advocate (BCPA) credential, the following applies:</w:t>
      </w:r>
    </w:p>
    <w:p w14:paraId="067401CB" w14:textId="2C3D8276" w:rsidR="00C77059" w:rsidRPr="009E1C03" w:rsidRDefault="004D2EC6" w:rsidP="000E0821">
      <w:pPr>
        <w:pStyle w:val="ListBullet"/>
        <w:spacing w:after="0"/>
        <w:rPr>
          <w:sz w:val="21"/>
          <w:szCs w:val="21"/>
        </w:rPr>
      </w:pPr>
      <w:r w:rsidRPr="009E1C03">
        <w:rPr>
          <w:sz w:val="21"/>
          <w:szCs w:val="21"/>
        </w:rPr>
        <w:t>The BCPA is a professional certification demonstrating competency in patient advocacy, healthcare navigation, and adherence to a code of ethics and professional standards.</w:t>
      </w:r>
    </w:p>
    <w:p w14:paraId="2B758BBC" w14:textId="4F4CCF55" w:rsidR="00C77059" w:rsidRPr="009E1C03" w:rsidRDefault="004D2EC6" w:rsidP="000E0821">
      <w:pPr>
        <w:pStyle w:val="ListBullet"/>
        <w:spacing w:after="0"/>
        <w:rPr>
          <w:sz w:val="21"/>
          <w:szCs w:val="21"/>
        </w:rPr>
      </w:pPr>
      <w:r w:rsidRPr="009E1C03">
        <w:rPr>
          <w:sz w:val="21"/>
          <w:szCs w:val="21"/>
        </w:rPr>
        <w:t>This credential does not confer any clinical, diagnostic, prescriptive, or legal authority.</w:t>
      </w:r>
    </w:p>
    <w:p w14:paraId="577E6D9B" w14:textId="03B4CD60" w:rsidR="00C77059" w:rsidRPr="009E1C03" w:rsidRDefault="004D2EC6" w:rsidP="000E0821">
      <w:pPr>
        <w:pStyle w:val="ListBullet"/>
        <w:spacing w:after="0"/>
        <w:rPr>
          <w:sz w:val="21"/>
          <w:szCs w:val="21"/>
        </w:rPr>
      </w:pPr>
      <w:r w:rsidRPr="009E1C03">
        <w:rPr>
          <w:sz w:val="21"/>
          <w:szCs w:val="21"/>
        </w:rPr>
        <w:t>The role remains strictly non-clinical and does not replace or override the professional responsibilities of licensed healthcare providers.</w:t>
      </w:r>
    </w:p>
    <w:p w14:paraId="283FC9FF" w14:textId="2AA088BC" w:rsidR="00C77059" w:rsidRPr="009E1C03" w:rsidRDefault="004D2EC6" w:rsidP="000E0821">
      <w:pPr>
        <w:pStyle w:val="ListBullet"/>
        <w:spacing w:after="0"/>
        <w:rPr>
          <w:sz w:val="21"/>
          <w:szCs w:val="21"/>
        </w:rPr>
      </w:pPr>
      <w:r w:rsidRPr="009E1C03">
        <w:rPr>
          <w:sz w:val="21"/>
          <w:szCs w:val="21"/>
        </w:rPr>
        <w:t>This designation is used solely to reflect professional standards and commitment to advocacy best practices.</w:t>
      </w:r>
    </w:p>
    <w:p w14:paraId="052C91B4" w14:textId="77777777" w:rsidR="009E1C03" w:rsidRDefault="004D2EC6" w:rsidP="000E0821">
      <w:pPr>
        <w:spacing w:after="0"/>
        <w:rPr>
          <w:sz w:val="21"/>
          <w:szCs w:val="21"/>
        </w:rPr>
      </w:pPr>
      <w:r w:rsidRPr="009E1C03">
        <w:rPr>
          <w:sz w:val="21"/>
          <w:szCs w:val="21"/>
        </w:rPr>
        <w:t>Note: This section may be removed or updated at any time without altering the core scope of services.</w:t>
      </w:r>
    </w:p>
    <w:p w14:paraId="25D6BE82" w14:textId="77777777" w:rsidR="009E1C03" w:rsidRDefault="004D2EC6" w:rsidP="000E0821">
      <w:pPr>
        <w:spacing w:after="0"/>
        <w:rPr>
          <w:b/>
          <w:bCs/>
          <w:sz w:val="20"/>
          <w:szCs w:val="20"/>
        </w:rPr>
      </w:pPr>
      <w:r w:rsidRPr="009E1C03">
        <w:rPr>
          <w:b/>
          <w:bCs/>
          <w:color w:val="1F497D" w:themeColor="text2"/>
          <w:sz w:val="20"/>
          <w:szCs w:val="20"/>
        </w:rPr>
        <w:t>Disclaimer</w:t>
      </w:r>
    </w:p>
    <w:p w14:paraId="52C7EB68" w14:textId="5A8B1CA5" w:rsidR="00C77059" w:rsidRPr="009E1C03" w:rsidRDefault="004D2EC6">
      <w:pPr>
        <w:rPr>
          <w:b/>
          <w:bCs/>
          <w:sz w:val="20"/>
          <w:szCs w:val="20"/>
        </w:rPr>
      </w:pPr>
      <w:r w:rsidRPr="009E1C03">
        <w:rPr>
          <w:sz w:val="18"/>
          <w:szCs w:val="18"/>
        </w:rPr>
        <w:t>DASS’s services are intended for educational and advocacy purposes only. This Scope of Practice is provided to clarify the nature and limitations of our services. It may be shared with residents, families, and professional care teams for transparency and documentation purposes.</w:t>
      </w:r>
    </w:p>
    <w:sectPr w:rsidR="00C77059" w:rsidRPr="009E1C03" w:rsidSect="00375BA8">
      <w:headerReference w:type="default" r:id="rId8"/>
      <w:footerReference w:type="default" r:id="rId9"/>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90E5" w14:textId="77777777" w:rsidR="004D2EC6" w:rsidRDefault="004D2EC6" w:rsidP="004D2EC6">
      <w:pPr>
        <w:spacing w:after="0" w:line="240" w:lineRule="auto"/>
      </w:pPr>
      <w:r>
        <w:separator/>
      </w:r>
    </w:p>
  </w:endnote>
  <w:endnote w:type="continuationSeparator" w:id="0">
    <w:p w14:paraId="2A657A30" w14:textId="77777777" w:rsidR="004D2EC6" w:rsidRDefault="004D2EC6" w:rsidP="004D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A677" w14:textId="707B1307" w:rsidR="00375BA8" w:rsidRDefault="00375BA8" w:rsidP="00375BA8">
    <w:pPr>
      <w:jc w:val="center"/>
    </w:pPr>
    <w:r>
      <w:t>Dental Advocacy Support Services, LLC</w:t>
    </w:r>
    <w:r>
      <w:br/>
      <w:t>info@dentaladvocacy.com | www.dentaladvocacy.com</w:t>
    </w:r>
  </w:p>
  <w:p w14:paraId="4B29C99A" w14:textId="77777777" w:rsidR="00375BA8" w:rsidRDefault="00375BA8" w:rsidP="0037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D8B6" w14:textId="77777777" w:rsidR="004D2EC6" w:rsidRDefault="004D2EC6" w:rsidP="004D2EC6">
      <w:pPr>
        <w:spacing w:after="0" w:line="240" w:lineRule="auto"/>
      </w:pPr>
      <w:r>
        <w:separator/>
      </w:r>
    </w:p>
  </w:footnote>
  <w:footnote w:type="continuationSeparator" w:id="0">
    <w:p w14:paraId="31ACE1AA" w14:textId="77777777" w:rsidR="004D2EC6" w:rsidRDefault="004D2EC6" w:rsidP="004D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4784" w14:textId="64C818EF" w:rsidR="004D2EC6" w:rsidRPr="004D2EC6" w:rsidRDefault="004D2EC6" w:rsidP="004D2EC6">
    <w:pPr>
      <w:pStyle w:val="Header"/>
    </w:pPr>
    <w:r>
      <w:rPr>
        <w:noProof/>
      </w:rPr>
      <w:drawing>
        <wp:anchor distT="0" distB="0" distL="114300" distR="114300" simplePos="0" relativeHeight="251665920" behindDoc="1" locked="0" layoutInCell="1" allowOverlap="1" wp14:anchorId="6B717744" wp14:editId="18EAEBD6">
          <wp:simplePos x="0" y="0"/>
          <wp:positionH relativeFrom="column">
            <wp:posOffset>1082040</wp:posOffset>
          </wp:positionH>
          <wp:positionV relativeFrom="paragraph">
            <wp:posOffset>-853440</wp:posOffset>
          </wp:positionV>
          <wp:extent cx="3307080" cy="1653540"/>
          <wp:effectExtent l="0" t="0" r="7620" b="0"/>
          <wp:wrapNone/>
          <wp:docPr id="1000349930"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9930" name="Picture 2" descr="A black background with blue text&#10;&#10;AI-generated content may be incorrect."/>
                  <pic:cNvPicPr/>
                </pic:nvPicPr>
                <pic:blipFill>
                  <a:blip r:embed="rId1"/>
                  <a:stretch>
                    <a:fillRect/>
                  </a:stretch>
                </pic:blipFill>
                <pic:spPr>
                  <a:xfrm>
                    <a:off x="0" y="0"/>
                    <a:ext cx="3307080" cy="1653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410608A"/>
    <w:multiLevelType w:val="multilevel"/>
    <w:tmpl w:val="9C0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440EF"/>
    <w:multiLevelType w:val="multilevel"/>
    <w:tmpl w:val="9452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177685">
    <w:abstractNumId w:val="8"/>
  </w:num>
  <w:num w:numId="2" w16cid:durableId="987055499">
    <w:abstractNumId w:val="6"/>
  </w:num>
  <w:num w:numId="3" w16cid:durableId="1023942422">
    <w:abstractNumId w:val="5"/>
  </w:num>
  <w:num w:numId="4" w16cid:durableId="682630534">
    <w:abstractNumId w:val="4"/>
  </w:num>
  <w:num w:numId="5" w16cid:durableId="1643466192">
    <w:abstractNumId w:val="7"/>
  </w:num>
  <w:num w:numId="6" w16cid:durableId="1088309848">
    <w:abstractNumId w:val="3"/>
  </w:num>
  <w:num w:numId="7" w16cid:durableId="1018193780">
    <w:abstractNumId w:val="2"/>
  </w:num>
  <w:num w:numId="8" w16cid:durableId="888541011">
    <w:abstractNumId w:val="1"/>
  </w:num>
  <w:num w:numId="9" w16cid:durableId="2035768663">
    <w:abstractNumId w:val="0"/>
  </w:num>
  <w:num w:numId="10" w16cid:durableId="65617423">
    <w:abstractNumId w:val="9"/>
  </w:num>
  <w:num w:numId="11" w16cid:durableId="2348286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3D53"/>
    <w:rsid w:val="000E0821"/>
    <w:rsid w:val="0015074B"/>
    <w:rsid w:val="0029639D"/>
    <w:rsid w:val="00326F90"/>
    <w:rsid w:val="00375BA8"/>
    <w:rsid w:val="004D2EC6"/>
    <w:rsid w:val="00513163"/>
    <w:rsid w:val="0054504B"/>
    <w:rsid w:val="005E643B"/>
    <w:rsid w:val="00616FF2"/>
    <w:rsid w:val="009E1C03"/>
    <w:rsid w:val="00AA1D8D"/>
    <w:rsid w:val="00B47730"/>
    <w:rsid w:val="00BD7C21"/>
    <w:rsid w:val="00C77059"/>
    <w:rsid w:val="00CB0664"/>
    <w:rsid w:val="00CF66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1A517C"/>
  <w14:defaultImageDpi w14:val="300"/>
  <w15:docId w15:val="{471754E6-A8D1-40FC-B3F4-D37D2D4B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D7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Marissa Brubaker</cp:lastModifiedBy>
  <cp:revision>9</cp:revision>
  <dcterms:created xsi:type="dcterms:W3CDTF">2025-10-15T22:39:00Z</dcterms:created>
  <dcterms:modified xsi:type="dcterms:W3CDTF">2025-10-15T22:49:00Z</dcterms:modified>
  <cp:category/>
</cp:coreProperties>
</file>